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gridCol w:w="1298"/>
        <w:gridCol w:w="919"/>
        <w:gridCol w:w="1699"/>
        <w:gridCol w:w="1499"/>
        <w:gridCol w:w="1586"/>
        <w:gridCol w:w="1347"/>
        <w:gridCol w:w="1572"/>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r w:rsidR="00E23CB0">
              <w:rPr>
                <w:rFonts w:ascii="BellGothic Black" w:hAnsi="BellGothic Black"/>
                <w:sz w:val="16"/>
              </w:rPr>
              <w:t>/ACHS</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E23CB0" w:rsidP="00C2738F">
            <w:pPr>
              <w:spacing w:after="0"/>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r w:rsidR="00E23CB0">
              <w:rPr>
                <w:rFonts w:ascii="BellGothic Black" w:hAnsi="BellGothic Black"/>
                <w:sz w:val="16"/>
              </w:rPr>
              <w:t>/Modified by Sacerdote</w:t>
            </w:r>
            <w:bookmarkStart w:id="0" w:name="_GoBack"/>
            <w:bookmarkEnd w:id="0"/>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440F0B" w:rsidRDefault="007F2A28" w:rsidP="00C2738F">
            <w:pPr>
              <w:spacing w:after="0"/>
              <w:rPr>
                <w:rFonts w:ascii="Arial" w:hAnsi="Arial"/>
                <w:sz w:val="20"/>
              </w:rPr>
            </w:pPr>
            <w:r w:rsidRPr="007F2A28">
              <w:rPr>
                <w:rFonts w:ascii="Arial" w:hAnsi="Arial"/>
                <w:sz w:val="20"/>
              </w:rPr>
              <w:t>Students will understand how the Cold War and the 1960s affected the US domestically and internationally.</w:t>
            </w:r>
          </w:p>
          <w:p w:rsidR="007F2A28" w:rsidRPr="007F2A28" w:rsidRDefault="007F2A28" w:rsidP="00C2738F">
            <w:pPr>
              <w:spacing w:after="0"/>
              <w:rPr>
                <w:rFonts w:ascii="Arial" w:hAnsi="Arial"/>
                <w:sz w:val="16"/>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E23CB0"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EF0B49" w:rsidP="00C2738F">
            <w:pPr>
              <w:spacing w:after="0"/>
              <w:rPr>
                <w:rFonts w:asciiTheme="minorHAnsi" w:hAnsiTheme="minorHAnsi" w:cstheme="minorHAnsi"/>
                <w:sz w:val="16"/>
                <w:szCs w:val="18"/>
              </w:rPr>
            </w:pPr>
            <w:r>
              <w:t>How did American become involved in Vietnam?  How was this different from other wars we talked about?</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440F0B">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EF0B49" w:rsidRPr="00EF0B49" w:rsidRDefault="00EF0B49" w:rsidP="00EF0B49">
            <w:pPr>
              <w:numPr>
                <w:ilvl w:val="0"/>
                <w:numId w:val="6"/>
              </w:numPr>
              <w:spacing w:line="276" w:lineRule="auto"/>
              <w:contextualSpacing/>
              <w:rPr>
                <w:rStyle w:val="Emphasis"/>
                <w:rFonts w:ascii="Arial" w:hAnsi="Arial"/>
                <w:i w:val="0"/>
                <w:iCs w:val="0"/>
                <w:sz w:val="14"/>
                <w:szCs w:val="18"/>
              </w:rPr>
            </w:pPr>
            <w:r w:rsidRPr="00EF0B49">
              <w:rPr>
                <w:rStyle w:val="Emphasis"/>
                <w:bCs/>
                <w:i w:val="0"/>
                <w:sz w:val="14"/>
                <w:szCs w:val="18"/>
              </w:rPr>
              <w:t>Why do you think the US society changed so much during this era?</w:t>
            </w:r>
          </w:p>
          <w:p w:rsidR="00A93514" w:rsidRPr="0085642E" w:rsidRDefault="00EF0B49" w:rsidP="00EF0B49">
            <w:pPr>
              <w:numPr>
                <w:ilvl w:val="0"/>
                <w:numId w:val="6"/>
              </w:numPr>
              <w:spacing w:after="0"/>
              <w:contextualSpacing/>
              <w:rPr>
                <w:rFonts w:asciiTheme="minorHAnsi" w:hAnsiTheme="minorHAnsi" w:cstheme="minorHAnsi"/>
                <w:sz w:val="16"/>
                <w:szCs w:val="18"/>
              </w:rPr>
            </w:pPr>
            <w:r w:rsidRPr="00EF0B49">
              <w:rPr>
                <w:rStyle w:val="Strong"/>
                <w:b w:val="0"/>
                <w:iCs/>
                <w:sz w:val="14"/>
                <w:szCs w:val="18"/>
              </w:rPr>
              <w:t>Do you think the Vietnam War was a worthy cause?  Why / Why Not?</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440F0B">
            <w:pPr>
              <w:rPr>
                <w:rFonts w:ascii="Arial" w:hAnsi="Arial"/>
              </w:rPr>
            </w:pPr>
            <w:r w:rsidRPr="0085642E">
              <w:rPr>
                <w:rFonts w:ascii="Arial" w:hAnsi="Arial"/>
              </w:rPr>
              <w:t xml:space="preserve">Students will </w:t>
            </w:r>
            <w:r w:rsidR="00440F0B">
              <w:rPr>
                <w:rFonts w:ascii="Arial" w:hAnsi="Arial"/>
              </w:rPr>
              <w:t>engage in a primary source analysis activity.  Focus will be on quotes and political cartoons.</w:t>
            </w:r>
            <w:r w:rsidRPr="0085642E">
              <w:rPr>
                <w:rFonts w:ascii="Arial" w:hAnsi="Arial"/>
              </w:rPr>
              <w:t xml:space="preserve">  Students can work in groups or indiv</w:t>
            </w:r>
            <w:r w:rsidR="00440F0B">
              <w:rPr>
                <w:rFonts w:ascii="Arial" w:hAnsi="Arial"/>
              </w:rPr>
              <w:t xml:space="preserve">idually to complete their analysis.  </w:t>
            </w:r>
            <w:r w:rsidRPr="0085642E">
              <w:rPr>
                <w:rFonts w:ascii="Arial" w:hAnsi="Arial"/>
              </w:rPr>
              <w:t>Instructor will rota</w:t>
            </w:r>
            <w:r w:rsidR="00440F0B">
              <w:rPr>
                <w:rFonts w:ascii="Arial" w:hAnsi="Arial"/>
              </w:rPr>
              <w:t>t</w:t>
            </w:r>
            <w:r w:rsidRPr="0085642E">
              <w:rPr>
                <w:rFonts w:ascii="Arial" w:hAnsi="Arial"/>
              </w:rPr>
              <w: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A93514" w:rsidRPr="0085642E" w:rsidRDefault="00EF0B49" w:rsidP="00C2738F">
            <w:pPr>
              <w:rPr>
                <w:rFonts w:ascii="Arial" w:hAnsi="Arial"/>
              </w:rPr>
            </w:pPr>
            <w:r>
              <w:rPr>
                <w:rFonts w:ascii="Arial" w:hAnsi="Arial"/>
                <w:sz w:val="20"/>
              </w:rPr>
              <w:t>Instructor will begin discussion on the Cold War. This chapter will cover, the 1960s in America.  The focus of today’s lesson will be reviewing the main ideas surrounding “Going to War in Vietnam” Students will be introduced to topic and may be shown some pictures via PPT. Students may be expected to complete Cornell Notes/Activity Sheet and ask questions to help guide discussion. Embedded reading exercise may be included in the lesson.</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440F0B" w:rsidRPr="00C85458" w:rsidRDefault="00EF0B49" w:rsidP="00440F0B">
            <w:pPr>
              <w:spacing w:after="0"/>
              <w:rPr>
                <w:rFonts w:ascii="Arial" w:hAnsi="Arial"/>
                <w:sz w:val="20"/>
                <w:highlight w:val="yellow"/>
              </w:rPr>
            </w:pPr>
            <w:r>
              <w:rPr>
                <w:rFonts w:ascii="Arial" w:hAnsi="Arial"/>
                <w:sz w:val="20"/>
              </w:rPr>
              <w:t>Students will watch a video titled “Vietnam – Search and Destroy History Channel.”  AS students watch they will take notes and answer questions about life for soldiers during the war.  Instructor may stop the video and discuss certain parts. If time allows, students will read and analyze the maps / charts in this section and answer the attached questions.  Writing activity to close class – SRE based on the  Essential Question of the day</w:t>
            </w:r>
          </w:p>
          <w:p w:rsidR="00440F0B" w:rsidRPr="0085642E" w:rsidRDefault="00440F0B" w:rsidP="00440F0B">
            <w:pPr>
              <w:spacing w:after="0"/>
              <w:rPr>
                <w:rFonts w:asciiTheme="minorHAnsi" w:hAnsiTheme="minorHAnsi" w:cstheme="minorHAnsi"/>
                <w:b/>
                <w:sz w:val="16"/>
                <w:szCs w:val="18"/>
              </w:rPr>
            </w:pP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E23CB0">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1E0614BA"/>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6"/>
  </w:num>
  <w:num w:numId="6">
    <w:abstractNumId w:val="1"/>
  </w:num>
  <w:num w:numId="7">
    <w:abstractNumId w:val="1"/>
    <w:lvlOverride w:ilvl="0"/>
    <w:lvlOverride w:ilvl="1">
      <w:startOverride w:val="1"/>
    </w:lvlOverride>
    <w:lvlOverride w:ilvl="2"/>
    <w:lvlOverride w:ilvl="3"/>
    <w:lvlOverride w:ilvl="4"/>
    <w:lvlOverride w:ilvl="5"/>
    <w:lvlOverride w:ilvl="6"/>
    <w:lvlOverride w:ilvl="7"/>
    <w:lvlOverride w:ilvl="8"/>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144897"/>
    <w:rsid w:val="002678CD"/>
    <w:rsid w:val="00440F0B"/>
    <w:rsid w:val="005E683E"/>
    <w:rsid w:val="007F2A28"/>
    <w:rsid w:val="0085642E"/>
    <w:rsid w:val="0087318E"/>
    <w:rsid w:val="00890052"/>
    <w:rsid w:val="00A93514"/>
    <w:rsid w:val="00B6511F"/>
    <w:rsid w:val="00B82252"/>
    <w:rsid w:val="00BA052A"/>
    <w:rsid w:val="00C67BDB"/>
    <w:rsid w:val="00C85458"/>
    <w:rsid w:val="00E23CB0"/>
    <w:rsid w:val="00EC42F1"/>
    <w:rsid w:val="00EF0B49"/>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440F0B"/>
    <w:rPr>
      <w:i/>
      <w:iCs/>
    </w:rPr>
  </w:style>
  <w:style w:type="character" w:styleId="Strong">
    <w:name w:val="Strong"/>
    <w:basedOn w:val="DefaultParagraphFont"/>
    <w:uiPriority w:val="22"/>
    <w:qFormat/>
    <w:rsid w:val="00440F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23202">
      <w:bodyDiv w:val="1"/>
      <w:marLeft w:val="0"/>
      <w:marRight w:val="0"/>
      <w:marTop w:val="0"/>
      <w:marBottom w:val="0"/>
      <w:divBdr>
        <w:top w:val="none" w:sz="0" w:space="0" w:color="auto"/>
        <w:left w:val="none" w:sz="0" w:space="0" w:color="auto"/>
        <w:bottom w:val="none" w:sz="0" w:space="0" w:color="auto"/>
        <w:right w:val="none" w:sz="0" w:space="0" w:color="auto"/>
      </w:divBdr>
    </w:div>
    <w:div w:id="66443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1377</Words>
  <Characters>7853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2016-03-01T16:25:00Z</dcterms:created>
  <dcterms:modified xsi:type="dcterms:W3CDTF">2016-03-01T16:25:00Z</dcterms:modified>
</cp:coreProperties>
</file>